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A14E5" w14:textId="77777777" w:rsidR="00CC5104" w:rsidRPr="00F86FCA" w:rsidRDefault="00271EDD" w:rsidP="008B507D">
      <w:pPr>
        <w:keepNext/>
        <w:spacing w:after="0" w:line="240" w:lineRule="auto"/>
        <w:ind w:left="6663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F86FCA">
        <w:rPr>
          <w:rFonts w:ascii="Times New Roman" w:eastAsia="Times New Roman" w:hAnsi="Times New Roman" w:cs="Arial"/>
          <w:sz w:val="24"/>
          <w:szCs w:val="20"/>
          <w:lang w:eastAsia="pl-PL"/>
        </w:rPr>
        <w:t>Załączniki</w:t>
      </w:r>
    </w:p>
    <w:p w14:paraId="03A05110" w14:textId="4E7900DC" w:rsidR="00271EDD" w:rsidRPr="00F86FCA" w:rsidRDefault="00271EDD" w:rsidP="008B507D">
      <w:pPr>
        <w:keepNext/>
        <w:spacing w:after="0" w:line="240" w:lineRule="auto"/>
        <w:ind w:left="6663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F86FCA">
        <w:rPr>
          <w:rFonts w:ascii="Times New Roman" w:eastAsia="Times New Roman" w:hAnsi="Times New Roman" w:cs="Arial"/>
          <w:sz w:val="24"/>
          <w:szCs w:val="20"/>
          <w:lang w:eastAsia="pl-PL"/>
        </w:rPr>
        <w:t>do ustawy</w:t>
      </w:r>
    </w:p>
    <w:p w14:paraId="38528B50" w14:textId="7F9AB805" w:rsidR="00CC5104" w:rsidRPr="00F86FCA" w:rsidRDefault="00AB4FE3" w:rsidP="008B507D">
      <w:pPr>
        <w:keepNext/>
        <w:spacing w:after="0" w:line="240" w:lineRule="auto"/>
        <w:ind w:left="6663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F86FCA">
        <w:rPr>
          <w:rFonts w:ascii="Times New Roman" w:eastAsia="Times New Roman" w:hAnsi="Times New Roman" w:cs="Arial"/>
          <w:sz w:val="24"/>
          <w:szCs w:val="20"/>
          <w:lang w:eastAsia="pl-PL"/>
        </w:rPr>
        <w:t>z dnia</w:t>
      </w:r>
    </w:p>
    <w:p w14:paraId="7D8FB2DF" w14:textId="391A2638" w:rsidR="00271EDD" w:rsidRPr="00F86FCA" w:rsidRDefault="00271EDD" w:rsidP="008B507D">
      <w:pPr>
        <w:keepNext/>
        <w:spacing w:after="0" w:line="240" w:lineRule="auto"/>
        <w:ind w:left="6663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F86FCA">
        <w:rPr>
          <w:rFonts w:ascii="Times New Roman" w:eastAsia="Times New Roman" w:hAnsi="Times New Roman" w:cs="Arial"/>
          <w:sz w:val="24"/>
          <w:szCs w:val="20"/>
          <w:lang w:eastAsia="pl-PL"/>
        </w:rPr>
        <w:t>(poz.</w:t>
      </w:r>
      <w:r w:rsidR="00CC5104" w:rsidRPr="00F86F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="000B4051" w:rsidRPr="00F86F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</w:t>
      </w:r>
      <w:r w:rsidRPr="00F86FCA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) </w:t>
      </w:r>
    </w:p>
    <w:p w14:paraId="0CCE21BB" w14:textId="77777777" w:rsidR="00271EDD" w:rsidRPr="00F86FCA" w:rsidRDefault="00271EDD" w:rsidP="00271EDD">
      <w:pPr>
        <w:keepNext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5AF0BB34" w14:textId="77777777" w:rsidR="00271EDD" w:rsidRPr="00F86FCA" w:rsidRDefault="00271EDD" w:rsidP="00271EDD">
      <w:pPr>
        <w:keepNext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F86FCA">
        <w:rPr>
          <w:rFonts w:ascii="Times New Roman" w:eastAsia="Times New Roman" w:hAnsi="Times New Roman" w:cs="Arial"/>
          <w:sz w:val="24"/>
          <w:szCs w:val="20"/>
          <w:lang w:eastAsia="pl-PL"/>
        </w:rPr>
        <w:t>Załącznik nr 1</w:t>
      </w:r>
    </w:p>
    <w:p w14:paraId="604AA38A" w14:textId="77777777" w:rsidR="00271EDD" w:rsidRPr="00271EDD" w:rsidRDefault="00271EDD" w:rsidP="00271EDD">
      <w:pPr>
        <w:keepNext/>
        <w:spacing w:after="0" w:line="360" w:lineRule="auto"/>
        <w:jc w:val="righ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271EDD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Wykaz sektorów i podsektorów energochłonnych </w:t>
      </w:r>
    </w:p>
    <w:tbl>
      <w:tblPr>
        <w:tblW w:w="949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2922"/>
        <w:gridCol w:w="5954"/>
      </w:tblGrid>
      <w:tr w:rsidR="00271EDD" w:rsidRPr="00271EDD" w14:paraId="1218AA3A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A70C35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L.p.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301E0A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PKD 2007 / PKWiU 2015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A13510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Opis</w:t>
            </w:r>
          </w:p>
        </w:tc>
      </w:tr>
      <w:tr w:rsidR="00271EDD" w:rsidRPr="00271EDD" w14:paraId="7F2BDC5E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747326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1.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164C61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24.42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210878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Produkcja aluminium</w:t>
            </w:r>
          </w:p>
        </w:tc>
      </w:tr>
      <w:tr w:rsidR="00271EDD" w:rsidRPr="00271EDD" w14:paraId="72374F09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0B2077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8D47FA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08.91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B31D7F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Wydobywanie minerałów dla przemysłu chemicznego oraz do produkcji nawozów</w:t>
            </w:r>
          </w:p>
        </w:tc>
      </w:tr>
      <w:tr w:rsidR="00271EDD" w:rsidRPr="00271EDD" w14:paraId="5B158DCF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EDFF58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3.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0DBB74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20.13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812FA3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Produkcja chemikaliów nieorganicznych podstawowych pozostałych</w:t>
            </w:r>
          </w:p>
        </w:tc>
      </w:tr>
      <w:tr w:rsidR="00271EDD" w:rsidRPr="00271EDD" w14:paraId="59217A32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4EE194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4.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D4C772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24.43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98331F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Produkcja ołowiu, cynku i cyny</w:t>
            </w:r>
          </w:p>
        </w:tc>
      </w:tr>
      <w:tr w:rsidR="00271EDD" w:rsidRPr="00271EDD" w14:paraId="63EDFB4D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459AE5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5.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F82728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  <w:p w14:paraId="3A70C25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14.11</w:t>
            </w:r>
          </w:p>
          <w:p w14:paraId="12DB816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ex 32.99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9FF4BE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Produkcja odzieży skórzanej</w:t>
            </w:r>
          </w:p>
          <w:p w14:paraId="22103C8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Produkcja pozostałych wyrobów, gdzie indziej niesklasyfikowana – dot. wyłącznie produkcji ubrań ognioodpornych i ochronnych ze skóry</w:t>
            </w:r>
          </w:p>
        </w:tc>
      </w:tr>
      <w:tr w:rsidR="00271EDD" w:rsidRPr="00271EDD" w14:paraId="3B03229B" w14:textId="77777777" w:rsidTr="00BF79B2">
        <w:trPr>
          <w:trHeight w:val="360"/>
        </w:trPr>
        <w:tc>
          <w:tcPr>
            <w:tcW w:w="0" w:type="auto"/>
            <w:vMerge w:val="restart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BCE9C0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6.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044975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26E42B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Produkcja żeliwa i stali oraz stopów żelaza</w:t>
            </w:r>
          </w:p>
        </w:tc>
      </w:tr>
      <w:tr w:rsidR="00271EDD" w:rsidRPr="00271EDD" w14:paraId="42F4BBF2" w14:textId="77777777" w:rsidTr="00BF79B2">
        <w:trPr>
          <w:trHeight w:val="36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253634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414AC3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24.20.1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8201C9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Rury, przewody rurowe i profile drążone bez szwu ze stali</w:t>
            </w:r>
          </w:p>
        </w:tc>
      </w:tr>
      <w:tr w:rsidR="00271EDD" w:rsidRPr="00271EDD" w14:paraId="61C744F4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1DB018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7.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9D5ED3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17.12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EF901C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Produkcja papieru i tektury</w:t>
            </w:r>
          </w:p>
        </w:tc>
      </w:tr>
      <w:tr w:rsidR="00271EDD" w:rsidRPr="00271EDD" w14:paraId="77FA474E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4AD2E1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8.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2CD0B7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20.15</w:t>
            </w:r>
          </w:p>
          <w:p w14:paraId="3F3D53B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ex 38.21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EC1164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Produkcja nawozów i związków azotowych</w:t>
            </w:r>
          </w:p>
          <w:p w14:paraId="407F8AB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Obróbka i usuwanie odpadów innych niż niebezpieczne – dot. wyłącznie produkcji kompostu związanej z usuwaniem odpadów innych niż niebezpieczne</w:t>
            </w:r>
          </w:p>
        </w:tc>
      </w:tr>
      <w:tr w:rsidR="00271EDD" w:rsidRPr="00271EDD" w14:paraId="397FF58E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78E629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9.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C68FA0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24.44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24C706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Produkcja miedzi</w:t>
            </w:r>
          </w:p>
        </w:tc>
      </w:tr>
      <w:tr w:rsidR="00271EDD" w:rsidRPr="00271EDD" w14:paraId="5921EDEA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CFC2AE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10.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10652A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ex. 19.10</w:t>
            </w:r>
          </w:p>
          <w:p w14:paraId="1A9DCB2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</w:t>
            </w:r>
          </w:p>
          <w:p w14:paraId="3288569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36E9F2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Wytwarzanie i przetwarzanie koksu – dot. wyłącznie produkcji paku i koksu pakowego</w:t>
            </w:r>
          </w:p>
          <w:p w14:paraId="35DC227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Produkcja chemikaliów organicznych podstawowych pozostałych</w:t>
            </w:r>
          </w:p>
        </w:tc>
      </w:tr>
      <w:tr w:rsidR="00271EDD" w:rsidRPr="00271EDD" w14:paraId="0189BD0A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5B111F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11.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509D53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 13.10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5448AB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Produkcja przędzy bawełnianej</w:t>
            </w:r>
          </w:p>
        </w:tc>
      </w:tr>
      <w:tr w:rsidR="00271EDD" w:rsidRPr="00271EDD" w14:paraId="4702864E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C25CB1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12.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0ED6D3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 20.60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F83312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Produkcja włókien chemicznych</w:t>
            </w:r>
          </w:p>
        </w:tc>
      </w:tr>
      <w:tr w:rsidR="00271EDD" w:rsidRPr="00271EDD" w14:paraId="610C8E12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6E73AF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13.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FCD433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07.10</w:t>
            </w:r>
          </w:p>
          <w:p w14:paraId="70992F2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ex 09.90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FB313F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Górnictwo rud żelaza</w:t>
            </w:r>
          </w:p>
          <w:p w14:paraId="5412672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Działalność usługowa wspomagająca pozostałe górnictwo i wydobywanie – dot. wyłącznie działalności usługowej wspomagającej górnictwo rud żelaza</w:t>
            </w:r>
          </w:p>
        </w:tc>
      </w:tr>
      <w:tr w:rsidR="00271EDD" w:rsidRPr="00271EDD" w14:paraId="1E394B26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9B3443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14.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D4DFA7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38E1E9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Następujące podsektory w ramach produkcji tworzyw sztucznych w formach podstawowych (20.16):</w:t>
            </w:r>
          </w:p>
        </w:tc>
      </w:tr>
      <w:tr w:rsidR="00271EDD" w:rsidRPr="00271EDD" w14:paraId="1373F80D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704A9A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8EE268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20.16.10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348798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  <w:p w14:paraId="1E6B3F9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Polimery etylenu w formach podstawowych</w:t>
            </w:r>
          </w:p>
        </w:tc>
      </w:tr>
      <w:tr w:rsidR="00271EDD" w:rsidRPr="00271EDD" w14:paraId="01BB7727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2FFBCE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7FF9E6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ex 20.16.51.0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46C81C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Polimery propylenu, w formach podstawowych</w:t>
            </w:r>
          </w:p>
        </w:tc>
      </w:tr>
      <w:tr w:rsidR="00271EDD" w:rsidRPr="00271EDD" w14:paraId="6CFDFBBC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FD6CE2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EAEECA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ex 20.16.30.0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7BAC97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Polimery chlorku winylu w</w:t>
            </w:r>
          </w:p>
          <w:p w14:paraId="33D0D16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formach podstawowych</w:t>
            </w:r>
          </w:p>
        </w:tc>
      </w:tr>
      <w:tr w:rsidR="00271EDD" w:rsidRPr="00271EDD" w14:paraId="32888749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6AF58A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FE8D42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ex 20.16.40.0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2200C6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Poliwęglany, w formach podstawowych</w:t>
            </w:r>
          </w:p>
        </w:tc>
      </w:tr>
      <w:tr w:rsidR="00271EDD" w:rsidRPr="00271EDD" w14:paraId="7A5043FB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ABADA6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15.</w:t>
            </w: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D58936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A1CB4C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Następujący podsektor w ramach produkcji pulpy (17.11):</w:t>
            </w:r>
          </w:p>
        </w:tc>
      </w:tr>
      <w:tr w:rsidR="00271EDD" w:rsidRPr="00271EDD" w14:paraId="3EC50774" w14:textId="77777777" w:rsidTr="00BF79B2">
        <w:tc>
          <w:tcPr>
            <w:tcW w:w="0" w:type="auto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44CE08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922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44E8E0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17.11.14.0</w:t>
            </w:r>
          </w:p>
        </w:tc>
        <w:tc>
          <w:tcPr>
            <w:tcW w:w="5954" w:type="dxa"/>
            <w:shd w:val="clear" w:color="auto" w:fill="auto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4ACA86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Masy włókniste drzewne mechaniczne i półchemiczne, masy włókniste z pozostałych surowców celulozowych</w:t>
            </w:r>
          </w:p>
        </w:tc>
      </w:tr>
    </w:tbl>
    <w:p w14:paraId="27BBC209" w14:textId="77777777" w:rsidR="00271EDD" w:rsidRPr="00271EDD" w:rsidRDefault="00271EDD" w:rsidP="00271EDD">
      <w:pPr>
        <w:rPr>
          <w:rFonts w:ascii="Calibri" w:eastAsia="Calibri" w:hAnsi="Calibri" w:cs="DokChampa"/>
          <w:lang w:val="fr-FR"/>
        </w:rPr>
      </w:pPr>
    </w:p>
    <w:p w14:paraId="690FA564" w14:textId="77777777" w:rsidR="00271EDD" w:rsidRPr="00271EDD" w:rsidRDefault="00271EDD" w:rsidP="00271EDD">
      <w:pPr>
        <w:rPr>
          <w:rFonts w:ascii="Calibri" w:eastAsia="Calibri" w:hAnsi="Calibri" w:cs="DokChampa"/>
          <w:lang w:val="fr-FR"/>
        </w:rPr>
        <w:sectPr w:rsidR="00271EDD" w:rsidRPr="00271EDD" w:rsidSect="008B507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559" w:bottom="1435" w:left="1559" w:header="709" w:footer="709" w:gutter="0"/>
          <w:cols w:space="708"/>
          <w:titlePg/>
          <w:docGrid w:linePitch="360"/>
        </w:sectPr>
      </w:pPr>
    </w:p>
    <w:p w14:paraId="1848CA2B" w14:textId="77777777" w:rsidR="00271EDD" w:rsidRPr="00F86FCA" w:rsidRDefault="00271EDD" w:rsidP="00271EDD">
      <w:pPr>
        <w:keepNext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  <w:bookmarkStart w:id="0" w:name="_GoBack"/>
      <w:r w:rsidRPr="00F86FCA">
        <w:rPr>
          <w:rFonts w:ascii="Times New Roman" w:eastAsia="Times New Roman" w:hAnsi="Times New Roman" w:cs="Arial"/>
          <w:sz w:val="24"/>
          <w:szCs w:val="20"/>
          <w:lang w:eastAsia="pl-PL"/>
        </w:rPr>
        <w:lastRenderedPageBreak/>
        <w:t>Załącznik nr 2</w:t>
      </w:r>
    </w:p>
    <w:bookmarkEnd w:id="0"/>
    <w:p w14:paraId="3B80891F" w14:textId="77777777" w:rsidR="00271EDD" w:rsidRPr="00271EDD" w:rsidRDefault="00271EDD" w:rsidP="00271EDD">
      <w:pPr>
        <w:keepNext/>
        <w:spacing w:after="0" w:line="360" w:lineRule="auto"/>
        <w:jc w:val="righ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271EDD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Wskaźniki efektywności zużycia energii elektrycznej w odniesieniu do produktów z sektorów lub podsektorów energochłonnych </w:t>
      </w:r>
    </w:p>
    <w:tbl>
      <w:tblPr>
        <w:tblW w:w="14675" w:type="dxa"/>
        <w:tblBorders>
          <w:top w:val="single" w:sz="6" w:space="0" w:color="auto"/>
          <w:bottom w:val="single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1634"/>
        <w:gridCol w:w="1240"/>
        <w:gridCol w:w="1375"/>
        <w:gridCol w:w="1921"/>
        <w:gridCol w:w="1985"/>
        <w:gridCol w:w="2695"/>
        <w:gridCol w:w="1274"/>
        <w:gridCol w:w="1842"/>
      </w:tblGrid>
      <w:tr w:rsidR="00271EDD" w:rsidRPr="00271EDD" w14:paraId="7F01B96C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D19384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PKD 2007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B903F8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Wskaźnik emisyjności dla produktów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7E2DC9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Wartość wskaźnika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534601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Jednostka wskaźnika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55671A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Jednostka produkcji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051CDD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Definicja produktu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D53366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Procesy objęte wskaźnikiem emisyjności dla produktów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C5A0FB0" w14:textId="4F2F84EA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Właściwy kod  PRODCOM 2017</w:t>
            </w:r>
            <w:r w:rsidR="00D00506">
              <w:rPr>
                <w:rFonts w:ascii="Calibri" w:eastAsia="Calibri" w:hAnsi="Calibri" w:cs="DokChampa"/>
                <w:lang w:val="fr-FR"/>
              </w:rPr>
              <w:t>–</w:t>
            </w:r>
            <w:r w:rsidRPr="00271EDD">
              <w:rPr>
                <w:rFonts w:ascii="Calibri" w:eastAsia="Calibri" w:hAnsi="Calibri" w:cs="DokChampa"/>
                <w:lang w:val="fr-FR"/>
              </w:rPr>
              <w:t>2018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618C31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Opis</w:t>
            </w:r>
          </w:p>
        </w:tc>
      </w:tr>
      <w:tr w:rsidR="00271EDD" w:rsidRPr="00271EDD" w14:paraId="473BE945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033638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24.42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14799" w:type="dxa"/>
              <w:tblBorders>
                <w:top w:val="single" w:sz="6" w:space="0" w:color="auto"/>
                <w:bottom w:val="single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799"/>
            </w:tblGrid>
            <w:tr w:rsidR="00271EDD" w:rsidRPr="00271EDD" w14:paraId="4CA867A2" w14:textId="77777777" w:rsidTr="00BF79B2">
              <w:tc>
                <w:tcPr>
                  <w:tcW w:w="14799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  <w:tcMar>
                    <w:top w:w="75" w:type="dxa"/>
                    <w:left w:w="150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4E7E6FFC" w14:textId="77777777" w:rsidR="00271EDD" w:rsidRPr="00271EDD" w:rsidRDefault="00271EDD" w:rsidP="00271EDD">
                  <w:pPr>
                    <w:rPr>
                      <w:rFonts w:ascii="Calibri" w:eastAsia="Calibri" w:hAnsi="Calibri" w:cs="DokChampa"/>
                      <w:lang w:val="fr-FR"/>
                    </w:rPr>
                  </w:pPr>
                  <w:r w:rsidRPr="00271EDD">
                    <w:rPr>
                      <w:rFonts w:ascii="Calibri" w:eastAsia="Calibri" w:hAnsi="Calibri" w:cs="DokChampa"/>
                      <w:lang w:val="fr-FR"/>
                    </w:rPr>
                    <w:t xml:space="preserve">Aluminium </w:t>
                  </w:r>
                </w:p>
                <w:p w14:paraId="639B01FE" w14:textId="77777777" w:rsidR="00271EDD" w:rsidRPr="00271EDD" w:rsidRDefault="00271EDD" w:rsidP="00271EDD">
                  <w:pPr>
                    <w:rPr>
                      <w:rFonts w:ascii="Calibri" w:eastAsia="Calibri" w:hAnsi="Calibri" w:cs="DokChampa"/>
                      <w:lang w:val="fr-FR"/>
                    </w:rPr>
                  </w:pPr>
                  <w:r w:rsidRPr="00271EDD">
                    <w:rPr>
                      <w:rFonts w:ascii="Calibri" w:eastAsia="Calibri" w:hAnsi="Calibri" w:cs="DokChampa"/>
                      <w:lang w:val="fr-FR"/>
                    </w:rPr>
                    <w:t>pierwotne</w:t>
                  </w:r>
                </w:p>
              </w:tc>
            </w:tr>
          </w:tbl>
          <w:p w14:paraId="739C7D14" w14:textId="77777777" w:rsidR="00271EDD" w:rsidRPr="00271EDD" w:rsidRDefault="00271EDD" w:rsidP="00271EDD">
            <w:pPr>
              <w:keepNext/>
              <w:spacing w:after="240" w:line="240" w:lineRule="auto"/>
              <w:ind w:left="5670"/>
              <w:contextualSpacing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577503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14,256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D4C3F3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MWh/Mg</w:t>
            </w:r>
          </w:p>
          <w:p w14:paraId="5123066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produktu</w:t>
            </w:r>
          </w:p>
          <w:p w14:paraId="47B8EE2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(zużycie prądu</w:t>
            </w:r>
          </w:p>
          <w:p w14:paraId="1C949D5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zmiennego)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C63F5C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nieobrobionego plastycznie płynnego niestopowego aluminium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1D8CCD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Nieobrobione plastycznie</w:t>
            </w:r>
          </w:p>
          <w:p w14:paraId="2536AC5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płynne aluminium niestopowe</w:t>
            </w:r>
          </w:p>
          <w:p w14:paraId="3D7D8E6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z elektrolizy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4CC92E8" w14:textId="54D66884" w:rsidR="00271EDD" w:rsidRPr="00271EDD" w:rsidRDefault="00271EDD" w:rsidP="00D00506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Nieobrobione plastycznie płynne aluminium niestopowe z elektrolizy, w tym z urządzeń służących ochronie przed zanieczyszczeniami, procesów pomocniczych i odlewni. Oprócz definicji produktu w decyzji 2011/278/UE uwzględnia się tu fabryki anod (anody wstępnie spiekane). W przypadku gdy anody dostarczane są z odrębnego zakładu w Europie, zakład ten nie powinien otrzymywać rekompensaty, gdyż jest on już objęty wskaźnikiem. W przypadku gdy anody są produkowane poza Europą, można zastosować korektę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72C9C6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24.42.11.30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57A131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Aluminium nieobrobione plastycznie, niestopowe, z wyłączeniem aluminium w postaci proszku i płatków</w:t>
            </w:r>
          </w:p>
        </w:tc>
      </w:tr>
      <w:tr w:rsidR="00271EDD" w:rsidRPr="00271EDD" w14:paraId="58F6506E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070DC9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4CACB7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2EB984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33E8B2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16E28F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A259F7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06339A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9A77B2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24.42.11.54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92B9B6C" w14:textId="58129258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Stopy aluminium nieobrobione plastycznie, z wyłączeniem aluminium w postaci proszku i płatków</w:t>
            </w:r>
          </w:p>
        </w:tc>
      </w:tr>
      <w:tr w:rsidR="00271EDD" w:rsidRPr="00271EDD" w14:paraId="2568C689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C786FC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24.42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36489F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Tlenek glinu (rafinacja)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30CD75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0,225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EAEEB7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MWh/Mg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78B340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tlenku glinu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257D28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E35352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Wszystkie procesy bezpośrednio lub pośrednio związane z produkcją tlenku glinu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A45E3E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24.42.12.00</w:t>
            </w:r>
          </w:p>
          <w:p w14:paraId="2644E59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C29A9E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Tlenek glinu, z wyłączeniem sztucznego korundu</w:t>
            </w:r>
          </w:p>
        </w:tc>
      </w:tr>
      <w:tr w:rsidR="00271EDD" w:rsidRPr="00271EDD" w14:paraId="1CC4A2E2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F953CA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B44A61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konwertorowa świeżona tlenem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3A3940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0,036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572665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MWh/Mg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0CD38C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stali surowej (odlewanej)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C07F8F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8E7117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Obróbka pozapiecowa, podgrzewanie materiałów ogniotrwałych, procesy pomocnicze (w szczególności odpylanie) i urządzenia odlewnicze aż po cięcie wyrobów ze stali surowej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395039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24.10.T1.22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6B805D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surowa: Stal niestopowa produkowana w innych procesach niż w piecach elektrycznych</w:t>
            </w:r>
          </w:p>
        </w:tc>
      </w:tr>
      <w:tr w:rsidR="00271EDD" w:rsidRPr="00271EDD" w14:paraId="649A8940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EA97E2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759BE5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8E8DCF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871A7C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B3E520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0DE0DD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1C4F02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B3DF13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24.10.T1.32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25BBE2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surowa: Stal stopowa inna niż stal nierdzewna produkowana w innych procesach niż w piecach elektrycznych</w:t>
            </w:r>
          </w:p>
        </w:tc>
      </w:tr>
      <w:tr w:rsidR="00271EDD" w:rsidRPr="00271EDD" w14:paraId="1EC9B5D4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790471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50464A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496E51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BE0601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9D2B13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2E6400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634638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2DC0BD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24.10.T1.42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EBEF50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surowa: Stal nierdzewna i stal żaroodporna produkowana w innych procesach niż w piecach elektrycznych</w:t>
            </w:r>
          </w:p>
        </w:tc>
      </w:tr>
      <w:tr w:rsidR="00271EDD" w:rsidRPr="00271EDD" w14:paraId="53FF4323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B513BA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66AC4B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węglowa z pieca łukowego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908B5A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0,283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E2CE0F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tCO2/Mg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ABE564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surowej stali wtórnej z aparatu odlewniczego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3004AF1" w14:textId="63BBD125" w:rsidR="00271EDD" w:rsidRPr="00271EDD" w:rsidRDefault="00271EDD" w:rsidP="00D00506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zawierająca poniżej 8% metalicznych pierwiastków stopowych i przypadkowych domieszek, przy których poziomie nadaje się do zastosowań, w których nie jest wymagana wysoka jakość powierzchni i przetwarzania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D47CA0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Uwzględniono wszystkie procesy w jednostkach produkcyjnych bezpośrednio lub pośrednio związane z:</w:t>
            </w:r>
          </w:p>
          <w:p w14:paraId="361E5D8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piecem łukowym,</w:t>
            </w:r>
          </w:p>
          <w:p w14:paraId="45F644C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obróbką pozapiecową,</w:t>
            </w:r>
          </w:p>
          <w:p w14:paraId="13BA60F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odlewaniem i cięciem,</w:t>
            </w:r>
          </w:p>
          <w:p w14:paraId="70278EB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jednostką dopalania gazów,</w:t>
            </w:r>
          </w:p>
          <w:p w14:paraId="389A12C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zespołem odpylania,</w:t>
            </w:r>
          </w:p>
          <w:p w14:paraId="09CEA36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stanowiskami podgrzewania kadzi,</w:t>
            </w:r>
          </w:p>
          <w:p w14:paraId="5760453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stanowiskami podgrzewania wlewków,</w:t>
            </w:r>
          </w:p>
          <w:p w14:paraId="234D41A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suszeniem złomu i</w:t>
            </w:r>
          </w:p>
          <w:p w14:paraId="65DC6D3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podgrzewaniem złomu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457F1F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24.10.T1.21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CEA4FA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surowa: stal niestopowa produkowana w piecach elektrycznych</w:t>
            </w:r>
          </w:p>
        </w:tc>
      </w:tr>
      <w:tr w:rsidR="00271EDD" w:rsidRPr="00271EDD" w14:paraId="207BB95F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2BF84C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854E7A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C48086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(w</w:t>
            </w:r>
          </w:p>
          <w:p w14:paraId="327819C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oparciu</w:t>
            </w:r>
          </w:p>
          <w:p w14:paraId="4480B55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o najlep-</w:t>
            </w:r>
          </w:p>
          <w:p w14:paraId="18B9953D" w14:textId="212DCBBB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sze 10%)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29EF55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736DC9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EB8E8A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6C2A5D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461DC8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24.10.T1.31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956580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surowa: stal stopowa inna niż stal nierdzewna produkowana w piecach elektrycznych</w:t>
            </w:r>
          </w:p>
        </w:tc>
      </w:tr>
      <w:tr w:rsidR="00271EDD" w:rsidRPr="00271EDD" w14:paraId="36A2C600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583272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3822BD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3D85F5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ECEB26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A9FB1F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B7A938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879F96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A62DFE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24.10.T1.41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E3587A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surowa: stal nierdzewna i stal żaroodporna produkowana w piecach elektrycznych</w:t>
            </w:r>
          </w:p>
        </w:tc>
      </w:tr>
      <w:tr w:rsidR="00271EDD" w:rsidRPr="00271EDD" w14:paraId="190CE6CB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D92B2C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FE1991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wysokostopowa z pieca łukowego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CBBF46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0,352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19C11D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tCO2/Mg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B648F8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surowej stali wysokostopowej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BE36A56" w14:textId="4315C3D3" w:rsidR="00271EDD" w:rsidRPr="00271EDD" w:rsidRDefault="00271EDD" w:rsidP="00D00506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zawierająca 8% lub więcej metalicznych pierwiastków stopowych lub od której oczekuje się wysokiej jakości powierzchni i przetwarzalności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E7350D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Uwzględniono wszystkie procesy w jednostkach produkcyjnych bezpośrednio lub pośrednio związane z:</w:t>
            </w:r>
          </w:p>
          <w:p w14:paraId="08F11BA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piecem łukowym,</w:t>
            </w:r>
          </w:p>
          <w:p w14:paraId="24BE9D7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obróbką pozapiecową,</w:t>
            </w:r>
          </w:p>
          <w:p w14:paraId="3FAB1F1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odlewaniem i cięciem,</w:t>
            </w:r>
          </w:p>
          <w:p w14:paraId="22D3A44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jednostką dopalania gazów,</w:t>
            </w:r>
          </w:p>
          <w:p w14:paraId="2C52B84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zespołem odpylania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C7425E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24.10.T1.21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EDEEBE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surowa: stal niestopowa produkowana w piecach elektrycznych</w:t>
            </w:r>
          </w:p>
        </w:tc>
      </w:tr>
      <w:tr w:rsidR="00271EDD" w:rsidRPr="00271EDD" w14:paraId="19A2892A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EFEC67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F10E9C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6E608C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1EBBA0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B4D2C9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AB4423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05E36D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stanowiskami podgrzewania kadzi,</w:t>
            </w:r>
          </w:p>
          <w:p w14:paraId="096B9D2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stanowiskami podgrzewania wlewków,</w:t>
            </w:r>
          </w:p>
          <w:p w14:paraId="00794F2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wolno chłodzącą kadzią,</w:t>
            </w:r>
          </w:p>
          <w:p w14:paraId="48DDEDB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suszeniem złomu i</w:t>
            </w:r>
          </w:p>
          <w:p w14:paraId="04F59D4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podgrzewaniem złomu. Nie uwzględniono rafinatora żelazochromu i kriogenicznego przechowywania gazów przemysłowych w jednostkach produkcyjnych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D9FDEF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939CE0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</w:tr>
      <w:tr w:rsidR="00271EDD" w:rsidRPr="00271EDD" w14:paraId="75662370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B74CBD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ABC470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3FCB3A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(w</w:t>
            </w:r>
          </w:p>
          <w:p w14:paraId="5085C42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oparciu</w:t>
            </w:r>
          </w:p>
          <w:p w14:paraId="36C39B0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o najlep-</w:t>
            </w:r>
          </w:p>
          <w:p w14:paraId="091F73F3" w14:textId="08571E18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sze 10%)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6AFF64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788338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F2D6FD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D27CAE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A9F737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24.10.T1.31  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21E09A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surowa: stal stopowa inna niż stal nierdzewna produkowana w piecach elektrycznych</w:t>
            </w:r>
          </w:p>
        </w:tc>
      </w:tr>
      <w:tr w:rsidR="00271EDD" w:rsidRPr="00271EDD" w14:paraId="440842C5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A6A679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F15C97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1DF262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8C8C33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8F7307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E0BF4C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BB9D66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361EC2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24.10.T1.41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EAE693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Stal surowa: stal nierdzewna i stal żaroodporna produkowana w piecach elektrycznych</w:t>
            </w:r>
          </w:p>
        </w:tc>
      </w:tr>
      <w:tr w:rsidR="00271EDD" w:rsidRPr="00271EDD" w14:paraId="323E1071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BF651D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24.10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3AE698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Żelazokrzem (FeSi)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512C09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8,540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B72962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MWh/Mg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5F72C5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FeSi-75 jako produktu końcowego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66CB4B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FeSi-75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35E73C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Wszystkie procesy bezpośrednio związane z eksploatacją pieców Nie uwzględnia się procesów pomocniczych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98D61B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ex. 24.10.12.30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FEA1540" w14:textId="054B507A" w:rsidR="00271EDD" w:rsidRPr="00271EDD" w:rsidRDefault="00271EDD" w:rsidP="00D00506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Żelazokrzem o zawartości krzemu 75%</w:t>
            </w:r>
          </w:p>
        </w:tc>
      </w:tr>
      <w:tr w:rsidR="00271EDD" w:rsidRPr="00271EDD" w14:paraId="3C928163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20990E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407A25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Żelazomangan wysokowęglowy (FeMn HC)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3EBA99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2,760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2D5D25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MWh/Mg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FF3D85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żelazomanganu wysokowęglowego jako produktu końcowego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8BFF91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Żelazomangan wysokowęglowy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7C3FCF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Wszystkie procesy bezpośrednio</w:t>
            </w:r>
          </w:p>
          <w:p w14:paraId="64CD45A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związane z piecami</w:t>
            </w:r>
          </w:p>
          <w:p w14:paraId="31F53BE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Nie uwzględnia się procesów pomoc-</w:t>
            </w:r>
          </w:p>
          <w:p w14:paraId="2807136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niczych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27F7EF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24.10.12.15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03717A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Żelazomangan (zgodnie z BREF)</w:t>
            </w:r>
          </w:p>
        </w:tc>
      </w:tr>
      <w:tr w:rsidR="00271EDD" w:rsidRPr="00271EDD" w14:paraId="5B778449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B7A7D2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24.10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51FC78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Krzemomangan (SiMn)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F36BD7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3,850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20F713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MWh/Mg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57850C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krzemomanganu jako produktu końcowego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3BEF84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Krzemomangan o różnej zawartości węgla, w tym SiMn, SiMn o niskiej zawartości węgla, SiMn o bardzo niskiej zawartości węgla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047481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Wszystkie procesy bezpośrednio związane z eksploatacją pieców Nie uwzględnia się procesów pomocniczych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9A51F6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ex. 24.10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EB1863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Krzemomangan, z wyłączeniem FeSiMn</w:t>
            </w:r>
          </w:p>
        </w:tc>
      </w:tr>
      <w:tr w:rsidR="00271EDD" w:rsidRPr="00271EDD" w14:paraId="73FAE1C8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31AD23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20.13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6FF5ED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Chlor (Cl2)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DE58C2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2,461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A3DD92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MWh/Mg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1BFAC9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chloru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14D026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Chlor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261483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Wszystkie procesy bezpośrednio lub pośrednio związane z urządzeniami do elektrolizy, w tym urządzeniami </w:t>
            </w: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pomocniczymi, takimi jak silniki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91D0F7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20.13.21.11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AE6669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Chlor</w:t>
            </w:r>
          </w:p>
        </w:tc>
      </w:tr>
      <w:tr w:rsidR="00271EDD" w:rsidRPr="00271EDD" w14:paraId="0B45E3AF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AB4AC9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20.13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04D1AB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Krzem metaliczny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906581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11,870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36F198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MWh/Mg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832C20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krzemu metalicznego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E4A8819" w14:textId="3B45DB71" w:rsidR="00271EDD" w:rsidRPr="00271EDD" w:rsidRDefault="00271EDD" w:rsidP="00D00506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Krzem o zawartości krzemu 90</w:t>
            </w:r>
            <w:r w:rsidR="00D00506">
              <w:rPr>
                <w:rFonts w:ascii="Calibri" w:eastAsia="Calibri" w:hAnsi="Calibri" w:cs="DokChampa"/>
                <w:lang w:val="fr-FR"/>
              </w:rPr>
              <w:t>–</w:t>
            </w:r>
            <w:r w:rsidRPr="00271EDD">
              <w:rPr>
                <w:rFonts w:ascii="Calibri" w:eastAsia="Calibri" w:hAnsi="Calibri" w:cs="DokChampa"/>
                <w:lang w:val="fr-FR"/>
              </w:rPr>
              <w:t>99,99%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C53DCB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Wszystkie procesy bezpośrednio związane z piecami</w:t>
            </w:r>
          </w:p>
          <w:p w14:paraId="2847CDD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Nie uwzględnia się procesów pomocniczych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5B1B8F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ex. 20.13.21.50 </w:t>
            </w:r>
          </w:p>
          <w:p w14:paraId="6E124E4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F51AC25" w14:textId="494D6074" w:rsidR="00271EDD" w:rsidRPr="00271EDD" w:rsidRDefault="00271EDD" w:rsidP="00D00506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Krzem o zawartości wagowej krzemu &lt; 99,99%</w:t>
            </w:r>
          </w:p>
        </w:tc>
      </w:tr>
      <w:tr w:rsidR="00271EDD" w:rsidRPr="00271EDD" w14:paraId="61FA64E8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33C54B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20.13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C89D2E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Superczysty krzem polikrystaliczny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E6CE87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60,000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3201E4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MWh/Mg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236C1A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superczystego krzemu metalicznego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9B08D38" w14:textId="6E068DB1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Krzem o zawartości krzemu &gt; 99,99%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5267DD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Wszystkie procesy bezpośrednio lub pośrednio związane z piecem, w tym urządzeniami pomocniczymi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0B6EC3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ex. 20.13.21.50 </w:t>
            </w:r>
          </w:p>
          <w:p w14:paraId="5491A40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24F2990" w14:textId="14FDA9D1" w:rsidR="00271EDD" w:rsidRPr="00271EDD" w:rsidRDefault="00271EDD" w:rsidP="00D00506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Krzem o zawartości wagowej krzemu &gt; = 99,99%</w:t>
            </w:r>
          </w:p>
        </w:tc>
      </w:tr>
      <w:tr w:rsidR="00271EDD" w:rsidRPr="00271EDD" w14:paraId="2F067164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DFE123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20.13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70CA99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Węglik krzemu (SiC)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BD2936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6,200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86E451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MWh/Mg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95C64CE" w14:textId="74783D42" w:rsidR="00271EDD" w:rsidRPr="00271EDD" w:rsidRDefault="00271EDD" w:rsidP="00D00506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100% SiC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894258D" w14:textId="7C1F9C6C" w:rsidR="00271EDD" w:rsidRPr="00271EDD" w:rsidRDefault="00271EDD" w:rsidP="00D00506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Węglik krzemu o 100% czystości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6716F9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Wszystkie procesy bezpośrednio lub pośrednio związane z piecem, w tym urządzeniami pomocniczymi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8D28D6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20.13.64.50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087A65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Węgliki, włączając chemicznie niezdefiniowane</w:t>
            </w:r>
          </w:p>
        </w:tc>
      </w:tr>
      <w:tr w:rsidR="00271EDD" w:rsidRPr="00271EDD" w14:paraId="1E2237FF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538CBD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EF1C28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Wysokowartościowe chemikalia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BC004A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0,702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07ED46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tCO2/Mg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CA66E1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Tona wysokowartościowych chemikaliów (HVC) (tona acetylenu, etylenu, </w:t>
            </w: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propylenu, butadienu, benzenu i wodoru)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7DB6FC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Mieszanina</w:t>
            </w:r>
          </w:p>
          <w:p w14:paraId="385C214D" w14:textId="0BF4287A" w:rsidR="00271EDD" w:rsidRPr="00271EDD" w:rsidRDefault="00271EDD" w:rsidP="00D00506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wysokowartościowych chemikaliów (HVC) wyrażona jako całkowita masa acetylenu, </w:t>
            </w: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etylenu, propylenu, butadienu, benzenu i wodoru, z wyłączeniem HVC z dodatkowych ilości (wodór, etylen, inne HVC) o zawartości wagowej co najmniej 30% etylenu w całkowitej mieszaninie produktów i o zawartości wagowej HVC, gazu paliwowego, butenów i ciekłych węglowodorów w całkowitej mieszaninie produktów co najmniej 50%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176522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 xml:space="preserve">Uwzględniono wszystkie procesy bezpośrednio lub pośrednio związane z produkcją wysokowartościowych chemikaliów w postaci </w:t>
            </w: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oczyszczonego produktu lub produktu pośredniego o skoncentrowanej zawartości odpowiedniej wysokowartościowej substancji chemicznej w najniższej formie nadającej się do sprzedaży (surowe C4, odwodorniona benzyna do pirolizy), z wyłączeniem wyodrębniania C4 (wytwórnia butadienu), uwodorniania C4, hydrorafinacji benzyny do pirolizy i ekstrakcji związków aromatycznych oraz logistyki/przechowywania na potrzeby codziennej działalności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339769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ex. 20.14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E870D9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</w:tr>
      <w:tr w:rsidR="00271EDD" w:rsidRPr="00271EDD" w14:paraId="01C463FA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1CB042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46A65A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0CB186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A73111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B64512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2899B9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423F43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25C801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20.14.11.20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1AB400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Węglowodory alifatyczne nasycone</w:t>
            </w:r>
          </w:p>
        </w:tc>
      </w:tr>
      <w:tr w:rsidR="00271EDD" w:rsidRPr="00271EDD" w14:paraId="78A9F725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63C24F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C630BF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ECE293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60F145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B8B474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939951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119F66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C0E1C0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20.14.11.30</w:t>
            </w:r>
          </w:p>
          <w:p w14:paraId="045690F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80310D9" w14:textId="3E82D155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Węglowodory alifatyczne nienasycone </w:t>
            </w:r>
            <w:r w:rsidR="00D00506">
              <w:rPr>
                <w:rFonts w:ascii="Calibri" w:eastAsia="Calibri" w:hAnsi="Calibri" w:cs="DokChampa"/>
                <w:lang w:val="fr-FR"/>
              </w:rPr>
              <w:t>–</w:t>
            </w:r>
            <w:r w:rsidRPr="00271EDD">
              <w:rPr>
                <w:rFonts w:ascii="Calibri" w:eastAsia="Calibri" w:hAnsi="Calibri" w:cs="DokChampa"/>
                <w:lang w:val="fr-FR"/>
              </w:rPr>
              <w:t xml:space="preserve"> etylen</w:t>
            </w:r>
          </w:p>
        </w:tc>
      </w:tr>
      <w:tr w:rsidR="00271EDD" w:rsidRPr="00271EDD" w14:paraId="2F99F7C8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B7B4DF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46BAD0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1D93E9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642A29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56420C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D49FBF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A53D06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C6ED68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20.14.11.40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32A0F4D" w14:textId="164A6BD4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Węglowodory alifatyczne nienasycone </w:t>
            </w:r>
            <w:r w:rsidR="00D00506">
              <w:rPr>
                <w:rFonts w:ascii="Calibri" w:eastAsia="Calibri" w:hAnsi="Calibri" w:cs="DokChampa"/>
                <w:lang w:val="fr-FR"/>
              </w:rPr>
              <w:t>–</w:t>
            </w:r>
            <w:r w:rsidRPr="00271EDD">
              <w:rPr>
                <w:rFonts w:ascii="Calibri" w:eastAsia="Calibri" w:hAnsi="Calibri" w:cs="DokChampa"/>
                <w:lang w:val="fr-FR"/>
              </w:rPr>
              <w:t xml:space="preserve"> propen (propylen)</w:t>
            </w:r>
          </w:p>
        </w:tc>
      </w:tr>
      <w:tr w:rsidR="00271EDD" w:rsidRPr="00271EDD" w14:paraId="2073261D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0C3826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76EA5F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AE130C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C18D91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04C69C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E82896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0DEF2C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415014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20.14.11.50</w:t>
            </w:r>
          </w:p>
          <w:p w14:paraId="24DEEF2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789E717" w14:textId="714947DA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Węglowodory alifatyczne nienasycone </w:t>
            </w:r>
            <w:r w:rsidR="00D00506">
              <w:rPr>
                <w:rFonts w:ascii="Calibri" w:eastAsia="Calibri" w:hAnsi="Calibri" w:cs="DokChampa"/>
                <w:lang w:val="fr-FR"/>
              </w:rPr>
              <w:t>–</w:t>
            </w:r>
            <w:r w:rsidRPr="00271EDD">
              <w:rPr>
                <w:rFonts w:ascii="Calibri" w:eastAsia="Calibri" w:hAnsi="Calibri" w:cs="DokChampa"/>
                <w:lang w:val="fr-FR"/>
              </w:rPr>
              <w:t xml:space="preserve"> buten (butylen) i jego izomery</w:t>
            </w:r>
          </w:p>
        </w:tc>
      </w:tr>
      <w:tr w:rsidR="00271EDD" w:rsidRPr="00271EDD" w14:paraId="3992DD0A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C89E85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1A27E0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1CAF16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19C8C4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DBD998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DB7391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916F76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11E43D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20.14.11.60</w:t>
            </w:r>
          </w:p>
          <w:p w14:paraId="611E9BD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E4DCBDD" w14:textId="3C41240A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Węglowodory alifatyczne nienasycone </w:t>
            </w:r>
            <w:r w:rsidR="00D00506">
              <w:rPr>
                <w:rFonts w:ascii="Calibri" w:eastAsia="Calibri" w:hAnsi="Calibri" w:cs="DokChampa"/>
                <w:lang w:val="fr-FR"/>
              </w:rPr>
              <w:t>–</w:t>
            </w:r>
            <w:r w:rsidRPr="00271EDD">
              <w:rPr>
                <w:rFonts w:ascii="Calibri" w:eastAsia="Calibri" w:hAnsi="Calibri" w:cs="DokChampa"/>
                <w:lang w:val="fr-FR"/>
              </w:rPr>
              <w:t xml:space="preserve"> 1,3-butadien i izopren</w:t>
            </w:r>
          </w:p>
        </w:tc>
      </w:tr>
      <w:tr w:rsidR="00271EDD" w:rsidRPr="00271EDD" w14:paraId="08CA0670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23696E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349218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798BFB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9FFB0B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12C13C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300BB2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E19720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139729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20.14.11.90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3ED7C6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Węglowodory alifatyczne nienasycone, z wyłączeniem etylenu, propenu, butenu, 1,3-</w:t>
            </w: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butadienu i izoprenu</w:t>
            </w:r>
          </w:p>
        </w:tc>
      </w:tr>
      <w:tr w:rsidR="00271EDD" w:rsidRPr="00271EDD" w14:paraId="29E847F0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9659EB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A8612B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488E09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21C6F6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7EA698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6DF595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173AE7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DF8936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20.14.12.23</w:t>
            </w:r>
          </w:p>
          <w:p w14:paraId="143B822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9FDD52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Benzen</w:t>
            </w:r>
          </w:p>
        </w:tc>
      </w:tr>
      <w:tr w:rsidR="00271EDD" w:rsidRPr="00271EDD" w14:paraId="0C9E9F5E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F1C903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5D45EA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Związki aromatyczne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F3FDEA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0,030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04D3FB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tCO2/Mg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E91951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ważona CO2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212404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Mieszanina związków aromatycznych wyrażona w tonach CO2 (CWT)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1385C8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Uwzględniono wszystkie procesy bezpośrednio lub pośrednio związane z instalacjami jednostkowymi dotyczącymi związków aromatycznych:</w:t>
            </w:r>
          </w:p>
          <w:p w14:paraId="7A42692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hydrorafinacją benzyny do pirolizy,</w:t>
            </w:r>
          </w:p>
          <w:p w14:paraId="60C7F8C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ekstrakcją benzenu/toluenu/ ksylenu (BTX),</w:t>
            </w:r>
          </w:p>
          <w:p w14:paraId="729F790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TDP,</w:t>
            </w:r>
          </w:p>
          <w:p w14:paraId="6AF3DF9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HDA,</w:t>
            </w:r>
          </w:p>
          <w:p w14:paraId="28D62F2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izomeryzacją ksylenu,</w:t>
            </w:r>
          </w:p>
          <w:p w14:paraId="3BDAB52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zespołem Pksylenu,</w:t>
            </w:r>
          </w:p>
          <w:p w14:paraId="5065049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produkcją kumenu i</w:t>
            </w:r>
          </w:p>
          <w:p w14:paraId="4E6E0A1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- produkcją cykloheksanu.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E87050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ex. 20.14</w:t>
            </w: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CD7C49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</w:tr>
      <w:tr w:rsidR="00271EDD" w:rsidRPr="00271EDD" w14:paraId="3625304C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C5494F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20.13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3E2B97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Sadza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BF1005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1,954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7A7C13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tCO2/Mg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9ACDF5C" w14:textId="46081831" w:rsidR="00271EDD" w:rsidRPr="00271EDD" w:rsidRDefault="00271EDD" w:rsidP="00D00506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sadzy piecowej (jednostka nadająca się do sprzedaży, &gt; 96%)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801879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Sadza piecowa. Ten wskaźnik nie uwzględnia produktów z sadzy gazowej i lampowej.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DBC7EE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Uwzględniono wszystkie procesy bezpośrednio lub pośrednio związane z produkcją sadzy piecowej oraz wykończeniem, pakowaniem i spalaniem gazu odpadowego.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35D613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20.13.21.30</w:t>
            </w:r>
          </w:p>
          <w:p w14:paraId="1066AFF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E79EA7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Węgiel (sadze oraz pozostałe postacie węgla, gdzie indziej niesklasyfikowane)</w:t>
            </w:r>
          </w:p>
        </w:tc>
      </w:tr>
      <w:tr w:rsidR="00271EDD" w:rsidRPr="00271EDD" w14:paraId="770629B7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BBAB59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4D6385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Styren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93CB94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0,527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99B9CF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tCO2/Mg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1E0E1C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styrenu (produktu nadającego się do sprzedaży)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B43794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Monomer styrenu (benzen winylu, numer CAS: 100-42-5).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690394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Uwzględniono wszystkie procesy bezpośrednio lub pośrednio związane z produkcją:</w:t>
            </w:r>
          </w:p>
          <w:p w14:paraId="45F3859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styrenu oraz</w:t>
            </w:r>
          </w:p>
          <w:p w14:paraId="2A59797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produktu pośredniego w postaci etylobenzenu (łącznie z ilością wykorzystywaną jako surowiec do produkcji styrenu).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595316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  20.14.12.50</w:t>
            </w:r>
          </w:p>
          <w:p w14:paraId="07961E1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50CCC4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Styren</w:t>
            </w:r>
          </w:p>
        </w:tc>
      </w:tr>
      <w:tr w:rsidR="00271EDD" w:rsidRPr="00271EDD" w14:paraId="7233A613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27B54D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07232E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Tlenek etylenu/glikole</w:t>
            </w:r>
          </w:p>
          <w:p w14:paraId="0817218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etylenowe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A6F1E6C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0,512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3EF0D4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tCO2/Mg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4DCE99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 xml:space="preserve">Tona ekwiwalentów tlenku etylenu określonych jako ilość tlenku etylenu (w masie), która jest zawarta </w:t>
            </w: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w jednej jednostce masy określonego glikolu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9FABB7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 xml:space="preserve">Wskaźnik dotyczący tlenku etylenu/glikolu etylenowego obejmuje </w:t>
            </w: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następujące produkty:</w:t>
            </w:r>
          </w:p>
          <w:p w14:paraId="62F6D47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tlenek etylenu (o wysokiej czystości),</w:t>
            </w:r>
          </w:p>
          <w:p w14:paraId="3241CC5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glikol monoetylenowy (standardowy gatunek + gatunek włóknotwórczy (o wysokiej czystości)),</w:t>
            </w:r>
          </w:p>
          <w:p w14:paraId="21483FA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glikol dietylenowy,</w:t>
            </w:r>
          </w:p>
          <w:p w14:paraId="6BBDD52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- glikol trietylenowy.</w:t>
            </w:r>
          </w:p>
          <w:p w14:paraId="6CA75F4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Całkowita ilość produktów jest wyrażona w ekwiwalentach tlenku etylenu określonych jako ilość tlenku etylenu (w masie), która jest zawarta w jednej jednostce masy określonego glikolu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BFF41D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 xml:space="preserve">Uwzględniono wszystkie procesy bezpośrednio lub pośrednio związane z produkcją tlenku etylenu, sekcją oczyszczania tlenku </w:t>
            </w: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etylenu i glikolu w jednostkach produkcyjnych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A8CE81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lastRenderedPageBreak/>
              <w:t>20.14.63.73</w:t>
            </w:r>
          </w:p>
          <w:p w14:paraId="4AB062E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BCEA8E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Oksiran (tlenek etylenu)</w:t>
            </w:r>
          </w:p>
        </w:tc>
      </w:tr>
      <w:tr w:rsidR="00271EDD" w:rsidRPr="00271EDD" w14:paraId="7D1E65F8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2770B3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BF6B8A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317309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BB0F5BD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ED0337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4544ED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160DDA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C232F5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20.14.23.10</w:t>
            </w:r>
          </w:p>
          <w:p w14:paraId="1CDB41B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274FD1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Glikol etylenowy (etanodiol)</w:t>
            </w:r>
          </w:p>
        </w:tc>
      </w:tr>
      <w:tr w:rsidR="00271EDD" w:rsidRPr="00271EDD" w14:paraId="21E97FF4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23ADCA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72F820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49C297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5EEF1A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AB860A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E6135E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25E623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9EBD7B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20.14.63.33</w:t>
            </w:r>
          </w:p>
          <w:p w14:paraId="07BE5BC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CD27BF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2,2-Oksydietanol (glikol dietylenowy, digol)</w:t>
            </w:r>
          </w:p>
        </w:tc>
      </w:tr>
      <w:tr w:rsidR="00271EDD" w:rsidRPr="00271EDD" w14:paraId="14BAD80C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5DE7E5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24.43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3A1D37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Elektroliza cynku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23AE38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4,000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837CE0B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MWh/Mg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FE85C9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cynku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03478C6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Cynk pierwotny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80A2A1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Wszystkie procesy bezpośrednio lub pośrednio związane z elektrolizą cynku, w tym urządzeniami pomocniczymi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8FC4B0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24.43.12.30</w:t>
            </w:r>
          </w:p>
          <w:p w14:paraId="51D7339E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7E419B4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Cynk niestopowy nieobrobiony plastycznie, z wyłączeniem w postaci pyłu, proszku i płatków</w:t>
            </w:r>
          </w:p>
        </w:tc>
      </w:tr>
      <w:tr w:rsidR="00271EDD" w:rsidRPr="00271EDD" w14:paraId="3D93C21C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EFF0D0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9A419D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77F30F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585EC2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0DC1D3D7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5FE884A5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63587DA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7EA9B532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24.43.12.50</w:t>
            </w:r>
          </w:p>
          <w:p w14:paraId="4F993ADF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47452A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Cynk stopowy nieobrobiony plastycznie, z wyłączeniem w postaci pyłu, proszku i płatków</w:t>
            </w:r>
          </w:p>
        </w:tc>
      </w:tr>
      <w:tr w:rsidR="00271EDD" w:rsidRPr="00271EDD" w14:paraId="3FD7CD14" w14:textId="77777777" w:rsidTr="00BF79B2">
        <w:tc>
          <w:tcPr>
            <w:tcW w:w="70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88A8629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20.15</w:t>
            </w:r>
          </w:p>
        </w:tc>
        <w:tc>
          <w:tcPr>
            <w:tcW w:w="16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2549B28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Amoniak</w:t>
            </w:r>
          </w:p>
        </w:tc>
        <w:tc>
          <w:tcPr>
            <w:tcW w:w="124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1751D003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1,619</w:t>
            </w:r>
          </w:p>
        </w:tc>
        <w:tc>
          <w:tcPr>
            <w:tcW w:w="137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8A5D211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tCO2/Mg produktu</w:t>
            </w:r>
          </w:p>
        </w:tc>
        <w:tc>
          <w:tcPr>
            <w:tcW w:w="192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C789AE2" w14:textId="16722862" w:rsidR="00271EDD" w:rsidRPr="00271EDD" w:rsidRDefault="00271EDD" w:rsidP="00D00506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Tona amoniaku, jako produkcja (netto) nadająca się do sprzedaży, o 100% zawartości amoniaku</w:t>
            </w:r>
          </w:p>
        </w:tc>
        <w:tc>
          <w:tcPr>
            <w:tcW w:w="198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49DABF9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Amoniak (NH3) wyrażony w tonach wytworzonej ilości</w:t>
            </w:r>
          </w:p>
        </w:tc>
        <w:tc>
          <w:tcPr>
            <w:tcW w:w="2695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67F50ED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Uwzględniono wszystkie procesy bezpośrednio lub pośrednio związane z produkcją amoniaku i produktu pośredniego w postaci wodoru</w:t>
            </w:r>
          </w:p>
        </w:tc>
        <w:tc>
          <w:tcPr>
            <w:tcW w:w="127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F477280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20.15.10.75</w:t>
            </w:r>
          </w:p>
          <w:p w14:paraId="33005FE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</w:p>
        </w:tc>
        <w:tc>
          <w:tcPr>
            <w:tcW w:w="1842" w:type="dxa"/>
            <w:tcBorders>
              <w:bottom w:val="single" w:sz="6" w:space="0" w:color="auto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14:paraId="306C2518" w14:textId="77777777" w:rsidR="00271EDD" w:rsidRPr="00271EDD" w:rsidRDefault="00271EDD" w:rsidP="00271EDD">
            <w:pPr>
              <w:rPr>
                <w:rFonts w:ascii="Calibri" w:eastAsia="Calibri" w:hAnsi="Calibri" w:cs="DokChampa"/>
                <w:lang w:val="fr-FR"/>
              </w:rPr>
            </w:pPr>
            <w:r w:rsidRPr="00271EDD">
              <w:rPr>
                <w:rFonts w:ascii="Calibri" w:eastAsia="Calibri" w:hAnsi="Calibri" w:cs="DokChampa"/>
                <w:lang w:val="fr-FR"/>
              </w:rPr>
              <w:t>Amoniak bezwodny</w:t>
            </w:r>
          </w:p>
        </w:tc>
      </w:tr>
    </w:tbl>
    <w:p w14:paraId="54E35D6B" w14:textId="77777777" w:rsidR="00271EDD" w:rsidRPr="00271EDD" w:rsidRDefault="00271EDD" w:rsidP="00271EDD">
      <w:pPr>
        <w:rPr>
          <w:rFonts w:ascii="Calibri" w:eastAsia="Calibri" w:hAnsi="Calibri" w:cs="DokChampa"/>
          <w:lang w:val="fr-FR"/>
        </w:rPr>
      </w:pPr>
    </w:p>
    <w:p w14:paraId="7A3811CA" w14:textId="5B851F32" w:rsidR="00271EDD" w:rsidRPr="00271EDD" w:rsidRDefault="00271EDD" w:rsidP="00271EDD">
      <w:pPr>
        <w:rPr>
          <w:rFonts w:ascii="Calibri" w:eastAsia="Calibri" w:hAnsi="Calibri" w:cs="DokChampa"/>
          <w:lang w:val="fr-FR"/>
        </w:rPr>
      </w:pPr>
      <w:r w:rsidRPr="00271EDD">
        <w:rPr>
          <w:rFonts w:ascii="Calibri" w:eastAsia="Calibri" w:hAnsi="Calibri" w:cs="DokChampa"/>
          <w:lang w:val="fr-FR"/>
        </w:rPr>
        <w:t>Dla produktów, w przypadku których stwierdzono zamienność energii elektrycznej i paliw, wskaźnik emisyjności wyrażony jest w tCO2.</w:t>
      </w:r>
    </w:p>
    <w:p w14:paraId="540F5B5B" w14:textId="77777777" w:rsidR="003C1860" w:rsidRPr="00271EDD" w:rsidRDefault="003C1860">
      <w:pPr>
        <w:rPr>
          <w:lang w:val="fr-FR"/>
        </w:rPr>
      </w:pPr>
    </w:p>
    <w:sectPr w:rsidR="003C1860" w:rsidRPr="00271EDD" w:rsidSect="003617E8">
      <w:headerReference w:type="default" r:id="rId12"/>
      <w:footnotePr>
        <w:numRestart w:val="eachSect"/>
      </w:footnotePr>
      <w:pgSz w:w="16838" w:h="11906" w:orient="landscape"/>
      <w:pgMar w:top="1418" w:right="1560" w:bottom="1434" w:left="1560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B58E6" w14:textId="77777777" w:rsidR="002741A5" w:rsidRDefault="002741A5" w:rsidP="00CC4D90">
      <w:pPr>
        <w:spacing w:after="0" w:line="240" w:lineRule="auto"/>
      </w:pPr>
      <w:r>
        <w:separator/>
      </w:r>
    </w:p>
  </w:endnote>
  <w:endnote w:type="continuationSeparator" w:id="0">
    <w:p w14:paraId="4BD54F21" w14:textId="77777777" w:rsidR="002741A5" w:rsidRDefault="002741A5" w:rsidP="00CC4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okChampa"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4A0C4" w14:textId="77777777" w:rsidR="000B4051" w:rsidRDefault="000B40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671178575"/>
      <w:docPartObj>
        <w:docPartGallery w:val="Page Numbers (Bottom of Page)"/>
        <w:docPartUnique/>
      </w:docPartObj>
    </w:sdtPr>
    <w:sdtEndPr/>
    <w:sdtContent>
      <w:p w14:paraId="368086F3" w14:textId="5C4DAB62" w:rsidR="00CC4D90" w:rsidRPr="000B4051" w:rsidRDefault="00CC4D9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B40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40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B40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6FCA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0B40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BC5D856" w14:textId="77777777" w:rsidR="00951BD7" w:rsidRDefault="002741A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67F03" w14:textId="77777777" w:rsidR="000B4051" w:rsidRDefault="000B40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BF3DB" w14:textId="77777777" w:rsidR="002741A5" w:rsidRDefault="002741A5" w:rsidP="00CC4D90">
      <w:pPr>
        <w:spacing w:after="0" w:line="240" w:lineRule="auto"/>
      </w:pPr>
      <w:r>
        <w:separator/>
      </w:r>
    </w:p>
  </w:footnote>
  <w:footnote w:type="continuationSeparator" w:id="0">
    <w:p w14:paraId="558FA11F" w14:textId="77777777" w:rsidR="002741A5" w:rsidRDefault="002741A5" w:rsidP="00CC4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995E1" w14:textId="77777777" w:rsidR="000B4051" w:rsidRDefault="000B40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5ECDB" w14:textId="77777777" w:rsidR="000B4051" w:rsidRDefault="000B405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039E" w14:textId="77777777" w:rsidR="000B4051" w:rsidRDefault="000B4051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38231" w14:textId="5709A0A0" w:rsidR="00951BD7" w:rsidRPr="00B371CC" w:rsidRDefault="002741A5" w:rsidP="00B371CC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EDD"/>
    <w:rsid w:val="000B4051"/>
    <w:rsid w:val="000E22BE"/>
    <w:rsid w:val="00114410"/>
    <w:rsid w:val="001A0157"/>
    <w:rsid w:val="001B1982"/>
    <w:rsid w:val="00271EDD"/>
    <w:rsid w:val="002741A5"/>
    <w:rsid w:val="00373182"/>
    <w:rsid w:val="003C1860"/>
    <w:rsid w:val="0057350A"/>
    <w:rsid w:val="005B1A0A"/>
    <w:rsid w:val="00813A6A"/>
    <w:rsid w:val="008B507D"/>
    <w:rsid w:val="009C5357"/>
    <w:rsid w:val="00A6318A"/>
    <w:rsid w:val="00AB4FE3"/>
    <w:rsid w:val="00BF704C"/>
    <w:rsid w:val="00CC4D90"/>
    <w:rsid w:val="00CC5104"/>
    <w:rsid w:val="00CD771A"/>
    <w:rsid w:val="00D00506"/>
    <w:rsid w:val="00D32B3E"/>
    <w:rsid w:val="00D85465"/>
    <w:rsid w:val="00EB1369"/>
    <w:rsid w:val="00EB2991"/>
    <w:rsid w:val="00EE694C"/>
    <w:rsid w:val="00EF3983"/>
    <w:rsid w:val="00F86FCA"/>
    <w:rsid w:val="00FB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96B9"/>
  <w15:docId w15:val="{9CF9A182-D700-4E96-A110-2AB7B7E30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39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1EDD"/>
  </w:style>
  <w:style w:type="paragraph" w:styleId="Stopka">
    <w:name w:val="footer"/>
    <w:basedOn w:val="Normalny"/>
    <w:link w:val="StopkaZnak"/>
    <w:uiPriority w:val="99"/>
    <w:unhideWhenUsed/>
    <w:rsid w:val="002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1EDD"/>
  </w:style>
  <w:style w:type="paragraph" w:styleId="Tekstdymka">
    <w:name w:val="Balloon Text"/>
    <w:basedOn w:val="Normalny"/>
    <w:link w:val="TekstdymkaZnak"/>
    <w:uiPriority w:val="99"/>
    <w:semiHidden/>
    <w:unhideWhenUsed/>
    <w:rsid w:val="00CC4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D90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05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05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05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05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05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1811</Words>
  <Characters>10867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Ćwiek Katarzyna</dc:creator>
  <cp:lastModifiedBy>Jasiński Dariusz</cp:lastModifiedBy>
  <cp:revision>6</cp:revision>
  <dcterms:created xsi:type="dcterms:W3CDTF">2019-06-24T09:31:00Z</dcterms:created>
  <dcterms:modified xsi:type="dcterms:W3CDTF">2019-06-24T11:01:00Z</dcterms:modified>
</cp:coreProperties>
</file>